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DF78" w14:textId="77777777" w:rsidR="00AD021B" w:rsidRDefault="00AD021B" w:rsidP="00296E2D">
      <w:pPr>
        <w:ind w:right="-688"/>
        <w:jc w:val="center"/>
        <w:rPr>
          <w:b/>
          <w:bCs/>
          <w:color w:val="000000" w:themeColor="text1"/>
          <w:kern w:val="24"/>
          <w:sz w:val="36"/>
          <w:szCs w:val="36"/>
        </w:rPr>
      </w:pPr>
    </w:p>
    <w:p w14:paraId="6E264205" w14:textId="05D815F8" w:rsidR="00EC623D" w:rsidRPr="00EF3EFC" w:rsidRDefault="00EC623D" w:rsidP="00EF3EFC">
      <w:pPr>
        <w:ind w:right="-686"/>
        <w:jc w:val="center"/>
        <w:rPr>
          <w:b/>
          <w:bCs/>
          <w:color w:val="385623" w:themeColor="accent6" w:themeShade="80"/>
          <w:kern w:val="24"/>
          <w:sz w:val="36"/>
          <w:szCs w:val="36"/>
        </w:rPr>
      </w:pPr>
      <w:r w:rsidRPr="00EF3EFC">
        <w:rPr>
          <w:b/>
          <w:bCs/>
          <w:color w:val="385623" w:themeColor="accent6" w:themeShade="80"/>
          <w:kern w:val="24"/>
          <w:sz w:val="36"/>
          <w:szCs w:val="36"/>
        </w:rPr>
        <w:t>1.2 Mecanismos para acreditar el cumplimiento de principios, deberes y obligaciones de la Ley General y demás disposiciones aplicables</w:t>
      </w:r>
    </w:p>
    <w:p w14:paraId="4DCF84CA" w14:textId="77777777" w:rsidR="00EF3EFC" w:rsidRPr="00EF3EFC" w:rsidRDefault="00EF3EFC" w:rsidP="00EF3EFC">
      <w:pPr>
        <w:ind w:right="-686"/>
        <w:jc w:val="center"/>
        <w:rPr>
          <w:b/>
          <w:bCs/>
          <w:color w:val="385623" w:themeColor="accent6" w:themeShade="80"/>
          <w:kern w:val="24"/>
          <w:sz w:val="36"/>
          <w:szCs w:val="36"/>
        </w:rPr>
      </w:pPr>
    </w:p>
    <w:p w14:paraId="662E282C" w14:textId="72EB8C08" w:rsidR="00296E2D" w:rsidRDefault="00E20397" w:rsidP="00E20397">
      <w:pPr>
        <w:ind w:right="-686"/>
        <w:jc w:val="center"/>
        <w:rPr>
          <w:b/>
          <w:bCs/>
          <w:color w:val="385623" w:themeColor="accent6" w:themeShade="80"/>
          <w:kern w:val="24"/>
          <w:sz w:val="36"/>
          <w:szCs w:val="36"/>
        </w:rPr>
      </w:pPr>
      <w:r>
        <w:rPr>
          <w:b/>
          <w:bCs/>
          <w:color w:val="385623" w:themeColor="accent6" w:themeShade="80"/>
          <w:kern w:val="24"/>
          <w:sz w:val="36"/>
          <w:szCs w:val="36"/>
        </w:rPr>
        <w:t>3. Hipervínculo a los criterios específicos establecidos por el Comité para la mejor observancia de la Ley General y de aquellas disposiciones aplicables en la materia</w:t>
      </w:r>
    </w:p>
    <w:p w14:paraId="43A3E4AC" w14:textId="77777777" w:rsidR="00FA0260" w:rsidRDefault="00FA0260" w:rsidP="00BB455F">
      <w:pPr>
        <w:spacing w:line="276" w:lineRule="auto"/>
        <w:ind w:right="-688"/>
        <w:jc w:val="both"/>
        <w:rPr>
          <w:rFonts w:ascii="Montserrat" w:eastAsia="Times New Roman" w:hAnsi="Montserrat"/>
          <w:lang w:eastAsia="es-MX"/>
        </w:rPr>
      </w:pPr>
    </w:p>
    <w:p w14:paraId="1A0F2C5C" w14:textId="62CE88A5" w:rsidR="00FA0260" w:rsidRDefault="00FA0260" w:rsidP="00BB455F">
      <w:pPr>
        <w:spacing w:line="276" w:lineRule="auto"/>
        <w:ind w:right="-688"/>
        <w:jc w:val="both"/>
        <w:rPr>
          <w:rFonts w:ascii="Montserrat" w:eastAsia="Times New Roman" w:hAnsi="Montserrat"/>
          <w:lang w:eastAsia="es-MX"/>
        </w:rPr>
      </w:pPr>
      <w:r w:rsidRPr="004306A9">
        <w:rPr>
          <w:rFonts w:ascii="Montserrat" w:eastAsia="Times New Roman" w:hAnsi="Montserrat"/>
          <w:lang w:eastAsia="es-MX"/>
        </w:rPr>
        <w:t>L</w:t>
      </w:r>
      <w:r w:rsidR="00296E2D" w:rsidRPr="004306A9">
        <w:rPr>
          <w:rFonts w:ascii="Montserrat" w:eastAsia="Times New Roman" w:hAnsi="Montserrat"/>
          <w:lang w:eastAsia="es-MX"/>
        </w:rPr>
        <w:t>a</w:t>
      </w:r>
      <w:r>
        <w:rPr>
          <w:rFonts w:ascii="Montserrat" w:eastAsia="Times New Roman" w:hAnsi="Montserrat"/>
          <w:lang w:eastAsia="es-MX"/>
        </w:rPr>
        <w:t xml:space="preserve"> L</w:t>
      </w:r>
      <w:r w:rsidR="00296E2D" w:rsidRPr="004306A9">
        <w:rPr>
          <w:rFonts w:ascii="Montserrat" w:eastAsia="Times New Roman" w:hAnsi="Montserrat"/>
          <w:lang w:eastAsia="es-MX"/>
        </w:rPr>
        <w:t>ey General de Protección de Datos Personales en Posesión de Sujetos Obligados en su artículo 30</w:t>
      </w:r>
      <w:r w:rsidR="00B3148E" w:rsidRPr="004306A9">
        <w:rPr>
          <w:rFonts w:ascii="Montserrat" w:eastAsia="Times New Roman" w:hAnsi="Montserrat"/>
          <w:lang w:eastAsia="es-MX"/>
        </w:rPr>
        <w:t>,</w:t>
      </w:r>
      <w:r>
        <w:rPr>
          <w:rFonts w:ascii="Montserrat" w:eastAsia="Times New Roman" w:hAnsi="Montserrat"/>
          <w:lang w:eastAsia="es-MX"/>
        </w:rPr>
        <w:t xml:space="preserve"> prevé</w:t>
      </w:r>
      <w:r w:rsidR="00B3148E" w:rsidRPr="004306A9">
        <w:rPr>
          <w:rFonts w:ascii="Montserrat" w:eastAsia="Times New Roman" w:hAnsi="Montserrat"/>
          <w:lang w:eastAsia="es-MX"/>
        </w:rPr>
        <w:t xml:space="preserve"> que</w:t>
      </w:r>
      <w:r w:rsidR="00674A86" w:rsidRPr="004306A9">
        <w:rPr>
          <w:rFonts w:ascii="Montserrat" w:eastAsia="Times New Roman" w:hAnsi="Montserrat"/>
          <w:lang w:eastAsia="es-MX"/>
        </w:rPr>
        <w:t>,</w:t>
      </w:r>
      <w:r w:rsidR="00296E2D" w:rsidRPr="004306A9">
        <w:rPr>
          <w:rFonts w:ascii="Montserrat" w:eastAsia="Times New Roman" w:hAnsi="Montserrat"/>
          <w:lang w:eastAsia="es-MX"/>
        </w:rPr>
        <w:t xml:space="preserve"> entre otros, uno de los mecanismos a adoptar para cumplir con el </w:t>
      </w:r>
      <w:r w:rsidR="00296E2D" w:rsidRPr="008A792A">
        <w:rPr>
          <w:rFonts w:ascii="Montserrat" w:eastAsia="Times New Roman" w:hAnsi="Montserrat"/>
          <w:b/>
          <w:lang w:eastAsia="es-MX"/>
        </w:rPr>
        <w:t>“principio de responsabilidad”</w:t>
      </w:r>
      <w:r w:rsidR="00296E2D" w:rsidRPr="004306A9">
        <w:rPr>
          <w:rFonts w:ascii="Montserrat" w:eastAsia="Times New Roman" w:hAnsi="Montserrat"/>
          <w:lang w:eastAsia="es-MX"/>
        </w:rPr>
        <w:t xml:space="preserve"> es que los sujetos obligados deben </w:t>
      </w:r>
      <w:r w:rsidR="00E967F0" w:rsidRPr="004306A9">
        <w:rPr>
          <w:rFonts w:ascii="Montserrat" w:eastAsia="Times New Roman" w:hAnsi="Montserrat"/>
          <w:lang w:eastAsia="es-MX"/>
        </w:rPr>
        <w:t xml:space="preserve">implementar mecanismos entre </w:t>
      </w:r>
      <w:r w:rsidR="00674A86" w:rsidRPr="004306A9">
        <w:rPr>
          <w:rFonts w:ascii="Montserrat" w:eastAsia="Times New Roman" w:hAnsi="Montserrat"/>
          <w:lang w:eastAsia="es-MX"/>
        </w:rPr>
        <w:t>los que están</w:t>
      </w:r>
      <w:r w:rsidR="00795D5D" w:rsidRPr="004306A9">
        <w:rPr>
          <w:rFonts w:ascii="Montserrat" w:eastAsia="Times New Roman" w:hAnsi="Montserrat"/>
          <w:lang w:eastAsia="es-MX"/>
        </w:rPr>
        <w:t xml:space="preserve">, </w:t>
      </w:r>
      <w:r>
        <w:rPr>
          <w:rFonts w:ascii="Montserrat" w:eastAsia="Times New Roman" w:hAnsi="Montserrat"/>
          <w:lang w:eastAsia="es-MX"/>
        </w:rPr>
        <w:t>el de e</w:t>
      </w:r>
      <w:r w:rsidRPr="00942C11">
        <w:rPr>
          <w:rFonts w:ascii="Montserrat" w:eastAsia="Times New Roman" w:hAnsi="Montserrat"/>
          <w:lang w:eastAsia="es-MX"/>
        </w:rPr>
        <w:t xml:space="preserve">stablecer un sistema de supervisión y vigilancia interna o externa, incluyendo auditorías, para comprobar el cumplimiento de las políticas de protección de datos personales, siendo el Comité de Transparencia la </w:t>
      </w:r>
      <w:r w:rsidR="00735CC0">
        <w:rPr>
          <w:rFonts w:ascii="Montserrat" w:eastAsia="Times New Roman" w:hAnsi="Montserrat"/>
          <w:lang w:eastAsia="es-MX"/>
        </w:rPr>
        <w:t xml:space="preserve">máxima </w:t>
      </w:r>
      <w:r w:rsidRPr="00942C11">
        <w:rPr>
          <w:rFonts w:ascii="Montserrat" w:eastAsia="Times New Roman" w:hAnsi="Montserrat"/>
          <w:lang w:eastAsia="es-MX"/>
        </w:rPr>
        <w:t xml:space="preserve">autoridad </w:t>
      </w:r>
      <w:r w:rsidR="00942C11" w:rsidRPr="00942C11">
        <w:rPr>
          <w:rFonts w:ascii="Montserrat" w:eastAsia="Times New Roman" w:hAnsi="Montserrat"/>
          <w:lang w:eastAsia="es-MX"/>
        </w:rPr>
        <w:t>en materia de protección de datos personales.</w:t>
      </w:r>
    </w:p>
    <w:p w14:paraId="1B03296E" w14:textId="77777777" w:rsidR="00FA0260" w:rsidRDefault="00FA0260" w:rsidP="00BB455F">
      <w:pPr>
        <w:spacing w:line="276" w:lineRule="auto"/>
        <w:ind w:right="-688"/>
        <w:jc w:val="both"/>
        <w:rPr>
          <w:rFonts w:ascii="Montserrat" w:eastAsia="Times New Roman" w:hAnsi="Montserrat"/>
          <w:lang w:eastAsia="es-MX"/>
        </w:rPr>
      </w:pPr>
    </w:p>
    <w:p w14:paraId="0477FCD0" w14:textId="6896A399" w:rsidR="00593FB5" w:rsidRDefault="00CB2AB9" w:rsidP="00BB455F">
      <w:pPr>
        <w:ind w:right="-688"/>
        <w:jc w:val="both"/>
        <w:rPr>
          <w:rFonts w:ascii="Montserrat" w:hAnsi="Montserrat"/>
        </w:rPr>
      </w:pPr>
      <w:r w:rsidRPr="00593FB5">
        <w:rPr>
          <w:rFonts w:ascii="Montserrat" w:eastAsia="Times New Roman" w:hAnsi="Montserrat"/>
          <w:lang w:eastAsia="es-MX"/>
        </w:rPr>
        <w:t>Para cumplir con lo anterior, y no obstante</w:t>
      </w:r>
      <w:r w:rsidR="008A792A">
        <w:rPr>
          <w:rFonts w:ascii="Montserrat" w:eastAsia="Times New Roman" w:hAnsi="Montserrat"/>
          <w:lang w:eastAsia="es-MX"/>
        </w:rPr>
        <w:t>,</w:t>
      </w:r>
      <w:r w:rsidRPr="00593FB5">
        <w:rPr>
          <w:rFonts w:ascii="Montserrat" w:eastAsia="Times New Roman" w:hAnsi="Montserrat"/>
          <w:lang w:eastAsia="es-MX"/>
        </w:rPr>
        <w:t xml:space="preserve"> </w:t>
      </w:r>
      <w:r w:rsidR="005313EF">
        <w:rPr>
          <w:rFonts w:ascii="Montserrat" w:eastAsia="Times New Roman" w:hAnsi="Montserrat"/>
          <w:lang w:eastAsia="es-MX"/>
        </w:rPr>
        <w:t xml:space="preserve">de </w:t>
      </w:r>
      <w:r w:rsidR="00593FB5" w:rsidRPr="00593FB5">
        <w:rPr>
          <w:rFonts w:ascii="Montserrat" w:eastAsia="Times New Roman" w:hAnsi="Montserrat"/>
          <w:lang w:eastAsia="es-MX"/>
        </w:rPr>
        <w:t>que c</w:t>
      </w:r>
      <w:r w:rsidR="00593FB5" w:rsidRPr="00272823">
        <w:rPr>
          <w:rFonts w:ascii="Montserrat" w:eastAsia="Times New Roman" w:hAnsi="Montserrat"/>
          <w:lang w:eastAsia="es-MX"/>
        </w:rPr>
        <w:t xml:space="preserve">on la firma de los Acuerdos de Traspaso en fecha 29 de diciembre de 2023 y de la abrogación del </w:t>
      </w:r>
      <w:bookmarkStart w:id="0" w:name="_Hlk77348918"/>
      <w:r w:rsidR="00593FB5" w:rsidRPr="00272823">
        <w:rPr>
          <w:rFonts w:ascii="Montserrat" w:eastAsia="Times New Roman" w:hAnsi="Montserrat"/>
          <w:lang w:eastAsia="es-MX"/>
        </w:rPr>
        <w:t>Decreto por el que se crea el Hospital Regional de Alta Especialidad de Ixtapaluca, como un organismo descentralizado de la Administración Pública Federal</w:t>
      </w:r>
      <w:bookmarkEnd w:id="0"/>
      <w:r w:rsidR="00593FB5" w:rsidRPr="00272823">
        <w:rPr>
          <w:rFonts w:ascii="Montserrat" w:eastAsia="Times New Roman" w:hAnsi="Montserrat"/>
          <w:lang w:eastAsia="es-MX"/>
        </w:rPr>
        <w:t>, publicado en el DOF el 08 de junio de 2012, así como de su Estatuto Orgánico el Hospital Regional de Alta Especialidad de Ixtapaluca perdió su personalidad jurídica, lo que implicó que ya no se cuente con un Comité de Transparencia</w:t>
      </w:r>
      <w:r w:rsidR="00E25692">
        <w:rPr>
          <w:rFonts w:ascii="Montserrat" w:eastAsia="Times New Roman" w:hAnsi="Montserrat"/>
          <w:lang w:eastAsia="es-MX"/>
        </w:rPr>
        <w:t xml:space="preserve">, sin embargo, </w:t>
      </w:r>
      <w:r w:rsidR="00593FB5" w:rsidRPr="00272823">
        <w:rPr>
          <w:rFonts w:ascii="Montserrat" w:hAnsi="Montserrat"/>
        </w:rPr>
        <w:t>l</w:t>
      </w:r>
      <w:r w:rsidR="00593FB5">
        <w:rPr>
          <w:rFonts w:ascii="Montserrat" w:hAnsi="Montserrat"/>
        </w:rPr>
        <w:t>a Unidad</w:t>
      </w:r>
      <w:r w:rsidR="00593FB5" w:rsidRPr="00272823">
        <w:rPr>
          <w:rFonts w:ascii="Montserrat" w:hAnsi="Montserrat"/>
        </w:rPr>
        <w:t xml:space="preserve"> de Transparencia del Hospital Regional de Alta Especialidad de Ixtapaluca, dependiente del IMSS-BIENESTAR</w:t>
      </w:r>
      <w:r w:rsidR="00E25692">
        <w:rPr>
          <w:rFonts w:ascii="Montserrat" w:hAnsi="Montserrat"/>
        </w:rPr>
        <w:t>, continúa cumpliendo con sus obligaciones de transparencia</w:t>
      </w:r>
      <w:r w:rsidR="002F1111">
        <w:rPr>
          <w:rFonts w:ascii="Montserrat" w:hAnsi="Montserrat"/>
        </w:rPr>
        <w:t>, en términos de lo que dispone:</w:t>
      </w:r>
    </w:p>
    <w:p w14:paraId="3B61B20F" w14:textId="4C18BFDE" w:rsidR="002F1111" w:rsidRDefault="002F1111" w:rsidP="00593FB5">
      <w:pPr>
        <w:ind w:right="-688"/>
        <w:jc w:val="both"/>
        <w:rPr>
          <w:rFonts w:ascii="Montserrat" w:hAnsi="Montserrat"/>
        </w:rPr>
      </w:pPr>
    </w:p>
    <w:p w14:paraId="6B4143D9" w14:textId="77777777" w:rsidR="00735CC0" w:rsidRDefault="00735CC0" w:rsidP="00BB455F">
      <w:pPr>
        <w:spacing w:line="276" w:lineRule="auto"/>
        <w:ind w:right="-688"/>
        <w:jc w:val="both"/>
        <w:rPr>
          <w:rFonts w:ascii="Montserrat" w:eastAsia="Times New Roman" w:hAnsi="Montserrat"/>
          <w:lang w:eastAsia="es-MX"/>
        </w:rPr>
      </w:pPr>
      <w:bookmarkStart w:id="1" w:name="_Hlk155783143"/>
    </w:p>
    <w:p w14:paraId="2AEB56D6" w14:textId="77777777" w:rsidR="00735CC0" w:rsidRDefault="00735CC0" w:rsidP="00BB455F">
      <w:pPr>
        <w:spacing w:line="276" w:lineRule="auto"/>
        <w:ind w:right="-688"/>
        <w:jc w:val="both"/>
        <w:rPr>
          <w:rFonts w:ascii="Montserrat" w:eastAsia="Times New Roman" w:hAnsi="Montserrat"/>
          <w:lang w:eastAsia="es-MX"/>
        </w:rPr>
      </w:pPr>
    </w:p>
    <w:p w14:paraId="19269B3A" w14:textId="77777777" w:rsidR="00735CC0" w:rsidRDefault="00735CC0" w:rsidP="00BB455F">
      <w:pPr>
        <w:spacing w:line="276" w:lineRule="auto"/>
        <w:ind w:right="-688"/>
        <w:jc w:val="both"/>
        <w:rPr>
          <w:rFonts w:ascii="Montserrat" w:eastAsia="Times New Roman" w:hAnsi="Montserrat"/>
          <w:lang w:eastAsia="es-MX"/>
        </w:rPr>
      </w:pPr>
    </w:p>
    <w:p w14:paraId="711C7C76" w14:textId="7A408B22" w:rsidR="002F1111" w:rsidRPr="00E02810" w:rsidRDefault="002F1111" w:rsidP="00BB455F">
      <w:pPr>
        <w:spacing w:line="276" w:lineRule="auto"/>
        <w:ind w:right="-688"/>
        <w:jc w:val="both"/>
        <w:rPr>
          <w:rFonts w:ascii="Montserrat" w:eastAsia="Times New Roman" w:hAnsi="Montserrat"/>
          <w:lang w:eastAsia="es-MX"/>
        </w:rPr>
      </w:pPr>
      <w:r w:rsidRPr="00E02810">
        <w:rPr>
          <w:rFonts w:ascii="Montserrat" w:eastAsia="Times New Roman" w:hAnsi="Montserrat"/>
          <w:lang w:eastAsia="es-MX"/>
        </w:rPr>
        <w:t>El Acuerdo por el que se emiten las Bases para el proceso de desincorporación por fusión del centro y los hospitales regionales de alta especialidad que se indican con el IMSS-BIENESTAR</w:t>
      </w:r>
      <w:bookmarkEnd w:id="1"/>
      <w:r w:rsidRPr="00E02810">
        <w:rPr>
          <w:rFonts w:ascii="Montserrat" w:eastAsia="Times New Roman" w:hAnsi="Montserrat"/>
          <w:lang w:eastAsia="es-MX"/>
        </w:rPr>
        <w:t xml:space="preserve">, publicado en el DOF el 16 de octubre del 2023, dispone en su base Décima Primera: </w:t>
      </w:r>
    </w:p>
    <w:p w14:paraId="6CDFB8BF" w14:textId="77777777" w:rsidR="002F1111" w:rsidRPr="00E02810" w:rsidRDefault="002F1111" w:rsidP="002F1111">
      <w:pPr>
        <w:ind w:left="426" w:right="333"/>
        <w:jc w:val="both"/>
        <w:rPr>
          <w:rFonts w:ascii="Montserrat" w:eastAsia="Times New Roman" w:hAnsi="Montserrat"/>
          <w:b/>
          <w:lang w:eastAsia="es-MX"/>
        </w:rPr>
      </w:pPr>
    </w:p>
    <w:p w14:paraId="5DBF5738" w14:textId="77777777" w:rsidR="002F1111" w:rsidRPr="00E02810" w:rsidRDefault="002F1111" w:rsidP="00BB455F">
      <w:pPr>
        <w:spacing w:line="276" w:lineRule="auto"/>
        <w:ind w:left="851" w:right="758"/>
        <w:jc w:val="both"/>
        <w:rPr>
          <w:rFonts w:ascii="Montserrat" w:eastAsia="Times New Roman" w:hAnsi="Montserrat"/>
          <w:i/>
          <w:lang w:eastAsia="es-MX"/>
        </w:rPr>
      </w:pPr>
      <w:r w:rsidRPr="00E02810">
        <w:rPr>
          <w:rFonts w:ascii="Montserrat" w:eastAsia="Times New Roman" w:hAnsi="Montserrat"/>
          <w:b/>
          <w:i/>
          <w:lang w:eastAsia="es-MX"/>
        </w:rPr>
        <w:t xml:space="preserve">“DÉCIMA PRIMERA. </w:t>
      </w:r>
      <w:r w:rsidRPr="00E02810">
        <w:rPr>
          <w:rFonts w:ascii="Montserrat" w:eastAsia="Times New Roman" w:hAnsi="Montserrat"/>
          <w:i/>
          <w:lang w:eastAsia="es-MX"/>
        </w:rPr>
        <w:t>- Los HRAE y CRAE deberán continuar rindiendo la información a la que hace referencia la Ley General de Transparencia y Acceso a la Información Pública y la Ley Federal de Transparencia y Acceso a la Información Pública, en el ámbito de sus respectivas competencias, hasta completar su desincorporación por fusión. Una vez concluido este proceso, el IMSS-BIENESTAR determinará las nuevas directrices de transparencia y acceso a la información pública relacionada con los HRAE y CRAE”.</w:t>
      </w:r>
    </w:p>
    <w:p w14:paraId="03CD2050" w14:textId="77777777" w:rsidR="00593FB5" w:rsidRPr="00272823" w:rsidRDefault="00593FB5" w:rsidP="00593FB5">
      <w:pPr>
        <w:jc w:val="both"/>
        <w:rPr>
          <w:rFonts w:ascii="Montserrat" w:eastAsia="Times New Roman" w:hAnsi="Montserrat"/>
          <w:lang w:eastAsia="es-MX"/>
        </w:rPr>
      </w:pPr>
    </w:p>
    <w:p w14:paraId="015B921E" w14:textId="0E8D7E3C" w:rsidR="00E84044" w:rsidRDefault="00707D2E" w:rsidP="00BB455F">
      <w:pPr>
        <w:spacing w:line="276" w:lineRule="auto"/>
        <w:ind w:right="-688"/>
        <w:jc w:val="both"/>
        <w:rPr>
          <w:rFonts w:ascii="Montserrat" w:eastAsia="Times New Roman" w:hAnsi="Montserrat"/>
          <w:lang w:eastAsia="es-MX"/>
        </w:rPr>
      </w:pPr>
      <w:r>
        <w:rPr>
          <w:rFonts w:ascii="Montserrat" w:eastAsia="Times New Roman" w:hAnsi="Montserrat"/>
          <w:lang w:eastAsia="es-MX"/>
        </w:rPr>
        <w:t xml:space="preserve">Aun </w:t>
      </w:r>
      <w:r w:rsidR="001378B4">
        <w:rPr>
          <w:rFonts w:ascii="Montserrat" w:eastAsia="Times New Roman" w:hAnsi="Montserrat"/>
          <w:lang w:eastAsia="es-MX"/>
        </w:rPr>
        <w:t>y</w:t>
      </w:r>
      <w:r>
        <w:rPr>
          <w:rFonts w:ascii="Montserrat" w:eastAsia="Times New Roman" w:hAnsi="Montserrat"/>
          <w:lang w:eastAsia="es-MX"/>
        </w:rPr>
        <w:t xml:space="preserve"> cuando </w:t>
      </w:r>
      <w:r w:rsidR="00BE74A5">
        <w:rPr>
          <w:rFonts w:ascii="Montserrat" w:eastAsia="Times New Roman" w:hAnsi="Montserrat"/>
          <w:lang w:eastAsia="es-MX"/>
        </w:rPr>
        <w:t xml:space="preserve">el Hospital Regional de Alta Especialidad de Ixtapaluca </w:t>
      </w:r>
      <w:r>
        <w:rPr>
          <w:rFonts w:ascii="Montserrat" w:eastAsia="Times New Roman" w:hAnsi="Montserrat"/>
          <w:lang w:eastAsia="es-MX"/>
        </w:rPr>
        <w:t>no cuente con un Comité de Transparencia</w:t>
      </w:r>
      <w:r w:rsidR="00FA47EB">
        <w:rPr>
          <w:rFonts w:ascii="Montserrat" w:eastAsia="Times New Roman" w:hAnsi="Montserrat"/>
          <w:lang w:eastAsia="es-MX"/>
        </w:rPr>
        <w:t>, la U</w:t>
      </w:r>
      <w:r w:rsidR="00FC5B22">
        <w:rPr>
          <w:rFonts w:ascii="Montserrat" w:eastAsia="Times New Roman" w:hAnsi="Montserrat"/>
          <w:lang w:eastAsia="es-MX"/>
        </w:rPr>
        <w:t>T</w:t>
      </w:r>
      <w:r w:rsidR="00FA47EB">
        <w:rPr>
          <w:rFonts w:ascii="Montserrat" w:eastAsia="Times New Roman" w:hAnsi="Montserrat"/>
          <w:lang w:eastAsia="es-MX"/>
        </w:rPr>
        <w:t xml:space="preserve"> </w:t>
      </w:r>
      <w:r w:rsidR="00FC5B22">
        <w:rPr>
          <w:rFonts w:ascii="Montserrat" w:eastAsia="Times New Roman" w:hAnsi="Montserrat"/>
          <w:lang w:eastAsia="es-MX"/>
        </w:rPr>
        <w:t xml:space="preserve">hace efectivo los derechos humanos de </w:t>
      </w:r>
      <w:r w:rsidR="00FC5B22" w:rsidRPr="00682AC4">
        <w:rPr>
          <w:rFonts w:ascii="Montserrat" w:eastAsia="Times New Roman" w:hAnsi="Montserrat"/>
          <w:lang w:eastAsia="es-MX"/>
        </w:rPr>
        <w:t>acceso, rectificación, cancelación y oposición al tratamiento de datos personales</w:t>
      </w:r>
      <w:r w:rsidR="00FC5B22">
        <w:rPr>
          <w:rFonts w:ascii="Montserrat" w:eastAsia="Times New Roman" w:hAnsi="Montserrat"/>
          <w:lang w:eastAsia="es-MX"/>
        </w:rPr>
        <w:t xml:space="preserve"> (ARCO) de las personas usuarias atendiendo a</w:t>
      </w:r>
      <w:r w:rsidR="00BE74A5">
        <w:rPr>
          <w:rFonts w:ascii="Montserrat" w:eastAsia="Times New Roman" w:hAnsi="Montserrat"/>
          <w:lang w:eastAsia="es-MX"/>
        </w:rPr>
        <w:t xml:space="preserve"> la normatividad emitida por el </w:t>
      </w:r>
      <w:r>
        <w:rPr>
          <w:rFonts w:ascii="Montserrat" w:eastAsia="Times New Roman" w:hAnsi="Montserrat"/>
          <w:lang w:eastAsia="es-MX"/>
        </w:rPr>
        <w:t>Instituto Nacional de Transparencia, Acceso a la Información y Protección de Datos Personales</w:t>
      </w:r>
      <w:r w:rsidR="00BE74A5">
        <w:rPr>
          <w:rFonts w:ascii="Montserrat" w:eastAsia="Times New Roman" w:hAnsi="Montserrat"/>
          <w:lang w:eastAsia="es-MX"/>
        </w:rPr>
        <w:t xml:space="preserve">, consultable en: </w:t>
      </w:r>
      <w:hyperlink r:id="rId8" w:history="1">
        <w:r w:rsidR="00E84044" w:rsidRPr="00F73BFB">
          <w:rPr>
            <w:rStyle w:val="Hipervnculo"/>
            <w:rFonts w:ascii="Montserrat" w:eastAsia="Times New Roman" w:hAnsi="Montserrat"/>
            <w:lang w:eastAsia="es-MX"/>
          </w:rPr>
          <w:t>http://criteriosdeinterpretacion.inai.org.mx/</w:t>
        </w:r>
      </w:hyperlink>
      <w:r w:rsidR="00E84044">
        <w:rPr>
          <w:rFonts w:ascii="Montserrat" w:eastAsia="Times New Roman" w:hAnsi="Montserrat"/>
          <w:lang w:eastAsia="es-MX"/>
        </w:rPr>
        <w:t xml:space="preserve"> </w:t>
      </w:r>
    </w:p>
    <w:p w14:paraId="3536DE1B" w14:textId="290674C6" w:rsidR="00707D2E" w:rsidRDefault="00707D2E" w:rsidP="00BB455F">
      <w:pPr>
        <w:spacing w:line="276" w:lineRule="auto"/>
        <w:ind w:right="-688"/>
        <w:jc w:val="both"/>
        <w:rPr>
          <w:rFonts w:ascii="Montserrat" w:eastAsia="Times New Roman" w:hAnsi="Montserrat"/>
          <w:lang w:eastAsia="es-MX"/>
        </w:rPr>
      </w:pPr>
    </w:p>
    <w:p w14:paraId="77BA8C9E" w14:textId="77777777" w:rsidR="00707D2E" w:rsidRDefault="00707D2E" w:rsidP="00BB455F">
      <w:pPr>
        <w:spacing w:line="276" w:lineRule="auto"/>
        <w:ind w:right="-688"/>
        <w:jc w:val="both"/>
        <w:rPr>
          <w:rFonts w:ascii="Montserrat" w:eastAsia="Times New Roman" w:hAnsi="Montserrat"/>
          <w:lang w:eastAsia="es-MX"/>
        </w:rPr>
      </w:pPr>
      <w:bookmarkStart w:id="2" w:name="_GoBack"/>
      <w:bookmarkEnd w:id="2"/>
    </w:p>
    <w:p w14:paraId="4C92AB03" w14:textId="4FC124B1" w:rsidR="00707D2E" w:rsidRPr="008A2D21" w:rsidRDefault="008A2D21" w:rsidP="008A2D21">
      <w:pPr>
        <w:spacing w:line="276" w:lineRule="auto"/>
        <w:ind w:right="-688"/>
        <w:jc w:val="right"/>
        <w:rPr>
          <w:rFonts w:ascii="Montserrat" w:eastAsia="Times New Roman" w:hAnsi="Montserrat"/>
          <w:b/>
          <w:lang w:eastAsia="es-MX"/>
        </w:rPr>
      </w:pPr>
      <w:r w:rsidRPr="008A2D21">
        <w:rPr>
          <w:rFonts w:ascii="Montserrat" w:eastAsia="Times New Roman" w:hAnsi="Montserrat"/>
          <w:b/>
          <w:lang w:eastAsia="es-MX"/>
        </w:rPr>
        <w:t>Septiembre de 2024</w:t>
      </w:r>
      <w:r>
        <w:rPr>
          <w:rFonts w:ascii="Montserrat" w:eastAsia="Times New Roman" w:hAnsi="Montserrat"/>
          <w:b/>
          <w:lang w:eastAsia="es-MX"/>
        </w:rPr>
        <w:t>.</w:t>
      </w:r>
    </w:p>
    <w:sectPr w:rsidR="00707D2E" w:rsidRPr="008A2D21" w:rsidSect="00D60987">
      <w:headerReference w:type="default" r:id="rId9"/>
      <w:footerReference w:type="default" r:id="rId10"/>
      <w:pgSz w:w="15840" w:h="12240" w:orient="landscape"/>
      <w:pgMar w:top="1134" w:right="2386" w:bottom="851" w:left="1418" w:header="113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DC2CA" w14:textId="77777777" w:rsidR="000B19C2" w:rsidRDefault="000B19C2" w:rsidP="009D2B83">
      <w:r>
        <w:separator/>
      </w:r>
    </w:p>
  </w:endnote>
  <w:endnote w:type="continuationSeparator" w:id="0">
    <w:p w14:paraId="1F42A6D5" w14:textId="77777777" w:rsidR="000B19C2" w:rsidRDefault="000B19C2"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CD8D" w14:textId="6E6A34BC" w:rsidR="00E02EE2" w:rsidRPr="00B63380" w:rsidRDefault="00E02EE2" w:rsidP="00B63380">
    <w:pPr>
      <w:pStyle w:val="Ttulo6"/>
      <w:jc w:val="center"/>
      <w:rPr>
        <w:rStyle w:val="nfasissutil"/>
        <w:rFonts w:ascii="Montserrat" w:hAnsi="Montserrat"/>
        <w:color w:val="BE955B"/>
        <w:sz w:val="14"/>
        <w:szCs w:val="14"/>
      </w:rPr>
    </w:pPr>
    <w:r w:rsidRPr="00B63380">
      <w:rPr>
        <w:rStyle w:val="nfasissutil"/>
        <w:rFonts w:ascii="Montserrat" w:hAnsi="Montserrat"/>
        <w:color w:val="BE955B"/>
        <w:sz w:val="14"/>
        <w:szCs w:val="14"/>
        <w:lang w:val="es-ES"/>
      </w:rPr>
      <w:t xml:space="preserve">Página </w:t>
    </w:r>
    <w:r w:rsidRPr="00B63380">
      <w:rPr>
        <w:rStyle w:val="nfasissutil"/>
        <w:rFonts w:ascii="Montserrat" w:hAnsi="Montserrat"/>
        <w:b/>
        <w:bCs/>
        <w:color w:val="BE955B"/>
        <w:sz w:val="14"/>
        <w:szCs w:val="14"/>
      </w:rPr>
      <w:fldChar w:fldCharType="begin"/>
    </w:r>
    <w:r w:rsidRPr="00B63380">
      <w:rPr>
        <w:rStyle w:val="nfasissutil"/>
        <w:rFonts w:ascii="Montserrat" w:hAnsi="Montserrat"/>
        <w:b/>
        <w:bCs/>
        <w:color w:val="BE955B"/>
        <w:sz w:val="14"/>
        <w:szCs w:val="14"/>
      </w:rPr>
      <w:instrText>PAGE  \* Arabic  \* MERGEFORMAT</w:instrText>
    </w:r>
    <w:r w:rsidRPr="00B63380">
      <w:rPr>
        <w:rStyle w:val="nfasissutil"/>
        <w:rFonts w:ascii="Montserrat" w:hAnsi="Montserrat"/>
        <w:b/>
        <w:bCs/>
        <w:color w:val="BE955B"/>
        <w:sz w:val="14"/>
        <w:szCs w:val="14"/>
      </w:rPr>
      <w:fldChar w:fldCharType="separate"/>
    </w:r>
    <w:r w:rsidR="002B035C" w:rsidRPr="002B035C">
      <w:rPr>
        <w:rStyle w:val="nfasissutil"/>
        <w:rFonts w:ascii="Montserrat" w:hAnsi="Montserrat"/>
        <w:b/>
        <w:bCs/>
        <w:noProof/>
        <w:color w:val="BE955B"/>
        <w:sz w:val="14"/>
        <w:szCs w:val="14"/>
        <w:lang w:val="es-ES"/>
      </w:rPr>
      <w:t>1</w:t>
    </w:r>
    <w:r w:rsidRPr="00B63380">
      <w:rPr>
        <w:rStyle w:val="nfasissutil"/>
        <w:rFonts w:ascii="Montserrat" w:hAnsi="Montserrat"/>
        <w:b/>
        <w:bCs/>
        <w:color w:val="BE955B"/>
        <w:sz w:val="14"/>
        <w:szCs w:val="14"/>
      </w:rPr>
      <w:fldChar w:fldCharType="end"/>
    </w:r>
    <w:r w:rsidRPr="00B63380">
      <w:rPr>
        <w:rStyle w:val="nfasissutil"/>
        <w:rFonts w:ascii="Montserrat" w:hAnsi="Montserrat"/>
        <w:color w:val="BE955B"/>
        <w:sz w:val="14"/>
        <w:szCs w:val="14"/>
        <w:lang w:val="es-ES"/>
      </w:rPr>
      <w:t xml:space="preserve"> de </w:t>
    </w:r>
    <w:r w:rsidRPr="00B63380">
      <w:rPr>
        <w:rStyle w:val="nfasissutil"/>
        <w:rFonts w:ascii="Montserrat" w:hAnsi="Montserrat"/>
        <w:b/>
        <w:bCs/>
        <w:color w:val="BE955B"/>
        <w:sz w:val="14"/>
        <w:szCs w:val="14"/>
      </w:rPr>
      <w:fldChar w:fldCharType="begin"/>
    </w:r>
    <w:r w:rsidRPr="00B63380">
      <w:rPr>
        <w:rStyle w:val="nfasissutil"/>
        <w:rFonts w:ascii="Montserrat" w:hAnsi="Montserrat"/>
        <w:b/>
        <w:bCs/>
        <w:color w:val="BE955B"/>
        <w:sz w:val="14"/>
        <w:szCs w:val="14"/>
      </w:rPr>
      <w:instrText>NUMPAGES  \* Arabic  \* MERGEFORMAT</w:instrText>
    </w:r>
    <w:r w:rsidRPr="00B63380">
      <w:rPr>
        <w:rStyle w:val="nfasissutil"/>
        <w:rFonts w:ascii="Montserrat" w:hAnsi="Montserrat"/>
        <w:b/>
        <w:bCs/>
        <w:color w:val="BE955B"/>
        <w:sz w:val="14"/>
        <w:szCs w:val="14"/>
      </w:rPr>
      <w:fldChar w:fldCharType="separate"/>
    </w:r>
    <w:r w:rsidR="002B035C" w:rsidRPr="002B035C">
      <w:rPr>
        <w:rStyle w:val="nfasissutil"/>
        <w:rFonts w:ascii="Montserrat" w:hAnsi="Montserrat"/>
        <w:b/>
        <w:bCs/>
        <w:noProof/>
        <w:color w:val="BE955B"/>
        <w:sz w:val="14"/>
        <w:szCs w:val="14"/>
        <w:lang w:val="es-ES"/>
      </w:rPr>
      <w:t>2</w:t>
    </w:r>
    <w:r w:rsidRPr="00B63380">
      <w:rPr>
        <w:rStyle w:val="nfasissutil"/>
        <w:rFonts w:ascii="Montserrat" w:hAnsi="Montserrat"/>
        <w:b/>
        <w:bCs/>
        <w:color w:val="BE955B"/>
        <w:sz w:val="14"/>
        <w:szCs w:val="14"/>
      </w:rPr>
      <w:fldChar w:fldCharType="end"/>
    </w:r>
  </w:p>
  <w:p w14:paraId="375B4643" w14:textId="77777777" w:rsidR="00D60987" w:rsidRDefault="00D60987" w:rsidP="00F466B8">
    <w:pPr>
      <w:pStyle w:val="Ttulo6"/>
      <w:rPr>
        <w:rStyle w:val="nfasissutil"/>
        <w:rFonts w:ascii="Montserrat" w:hAnsi="Montserrat"/>
        <w:color w:val="BE955B"/>
        <w:sz w:val="16"/>
        <w:szCs w:val="16"/>
      </w:rPr>
    </w:pPr>
  </w:p>
  <w:p w14:paraId="03817BA7" w14:textId="0FA13AD9" w:rsidR="00E02EE2" w:rsidRDefault="00E02EE2" w:rsidP="00F466B8">
    <w:pPr>
      <w:pStyle w:val="Ttulo6"/>
      <w:rPr>
        <w:rStyle w:val="nfasissutil"/>
        <w:rFonts w:ascii="Montserrat" w:hAnsi="Montserrat"/>
        <w:color w:val="BE955B"/>
        <w:sz w:val="16"/>
        <w:szCs w:val="16"/>
      </w:rPr>
    </w:pPr>
    <w:r w:rsidRPr="00123849">
      <w:rPr>
        <w:rStyle w:val="nfasissutil"/>
        <w:rFonts w:ascii="Montserrat" w:hAnsi="Montserrat"/>
        <w:color w:val="BE955B"/>
        <w:sz w:val="16"/>
        <w:szCs w:val="16"/>
      </w:rPr>
      <w:t>Carr</w:t>
    </w:r>
    <w:r>
      <w:rPr>
        <w:rStyle w:val="nfasissutil"/>
        <w:rFonts w:ascii="Montserrat" w:hAnsi="Montserrat"/>
        <w:color w:val="BE955B"/>
        <w:sz w:val="16"/>
        <w:szCs w:val="16"/>
      </w:rPr>
      <w:t>etera</w:t>
    </w:r>
    <w:r w:rsidRPr="00123849">
      <w:rPr>
        <w:rStyle w:val="nfasissutil"/>
        <w:rFonts w:ascii="Montserrat" w:hAnsi="Montserrat"/>
        <w:color w:val="BE955B"/>
        <w:sz w:val="16"/>
        <w:szCs w:val="16"/>
      </w:rPr>
      <w:t xml:space="preserve"> Federal México-Puebla Km. 34.5,</w:t>
    </w:r>
    <w:r>
      <w:rPr>
        <w:rStyle w:val="nfasissutil"/>
        <w:rFonts w:ascii="Montserrat" w:hAnsi="Montserrat"/>
        <w:color w:val="BE955B"/>
        <w:sz w:val="16"/>
        <w:szCs w:val="16"/>
      </w:rPr>
      <w:t xml:space="preserve"> Pueblo de</w:t>
    </w:r>
    <w:r w:rsidRPr="00123849">
      <w:rPr>
        <w:rStyle w:val="nfasissutil"/>
        <w:rFonts w:ascii="Montserrat" w:hAnsi="Montserrat"/>
        <w:color w:val="BE955B"/>
        <w:sz w:val="16"/>
        <w:szCs w:val="16"/>
      </w:rPr>
      <w:t xml:space="preserve"> </w:t>
    </w:r>
    <w:proofErr w:type="spellStart"/>
    <w:r w:rsidRPr="00123849">
      <w:rPr>
        <w:rStyle w:val="nfasissutil"/>
        <w:rFonts w:ascii="Montserrat" w:hAnsi="Montserrat"/>
        <w:color w:val="BE955B"/>
        <w:sz w:val="16"/>
        <w:szCs w:val="16"/>
      </w:rPr>
      <w:t>Zoquiapan</w:t>
    </w:r>
    <w:proofErr w:type="spellEnd"/>
    <w:r w:rsidRPr="00123849">
      <w:rPr>
        <w:rStyle w:val="nfasissutil"/>
        <w:rFonts w:ascii="Montserrat" w:hAnsi="Montserrat"/>
        <w:color w:val="BE955B"/>
        <w:sz w:val="16"/>
        <w:szCs w:val="16"/>
      </w:rPr>
      <w:t>, 56530</w:t>
    </w:r>
    <w:r>
      <w:rPr>
        <w:rStyle w:val="nfasissutil"/>
        <w:rFonts w:ascii="Montserrat" w:hAnsi="Montserrat"/>
        <w:color w:val="BE955B"/>
        <w:sz w:val="16"/>
        <w:szCs w:val="16"/>
      </w:rPr>
      <w:t xml:space="preserve">, Municipio de Ixtapaluca, </w:t>
    </w:r>
  </w:p>
  <w:p w14:paraId="197170DD" w14:textId="77777777" w:rsidR="00E02EE2" w:rsidRDefault="00E02EE2"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14:paraId="204F90BB" w14:textId="77777777" w:rsidR="00E02EE2" w:rsidRPr="002D7521" w:rsidRDefault="00E02EE2" w:rsidP="009D2B83">
    <w:pPr>
      <w:pStyle w:val="Piedepgina"/>
      <w:spacing w:line="288" w:lineRule="auto"/>
      <w:rPr>
        <w:rFonts w:ascii="Montserrat SemiBold" w:hAnsi="Montserrat SemiBold"/>
        <w:b/>
        <w:color w:val="C39852"/>
        <w:sz w:val="15"/>
      </w:rPr>
    </w:pPr>
  </w:p>
  <w:p w14:paraId="27700D4F" w14:textId="77777777" w:rsidR="00E02EE2" w:rsidRDefault="00E02EE2" w:rsidP="009D2B83">
    <w:pPr>
      <w:pStyle w:val="Piedepgina"/>
      <w:spacing w:line="288" w:lineRule="auto"/>
      <w:rPr>
        <w:rFonts w:ascii="Montserrat SemiBold" w:hAnsi="Montserrat SemiBold"/>
        <w:b/>
        <w:color w:val="C39852"/>
        <w:sz w:val="15"/>
        <w:lang w:val="es-ES"/>
      </w:rPr>
    </w:pPr>
  </w:p>
  <w:p w14:paraId="10BB4C18" w14:textId="77777777" w:rsidR="00E02EE2" w:rsidRPr="009D2B83" w:rsidRDefault="00E02EE2"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D3E8" w14:textId="77777777" w:rsidR="000B19C2" w:rsidRDefault="000B19C2" w:rsidP="009D2B83">
      <w:r>
        <w:separator/>
      </w:r>
    </w:p>
  </w:footnote>
  <w:footnote w:type="continuationSeparator" w:id="0">
    <w:p w14:paraId="11E9A725" w14:textId="77777777" w:rsidR="000B19C2" w:rsidRDefault="000B19C2"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C4DE" w14:textId="77777777" w:rsidR="00E02EE2" w:rsidRDefault="00E02EE2" w:rsidP="00296E2D">
    <w:pPr>
      <w:pStyle w:val="Encabezado"/>
      <w:spacing w:line="240" w:lineRule="atLeast"/>
      <w:ind w:right="-1431"/>
      <w:jc w:val="right"/>
      <w:rPr>
        <w:rFonts w:ascii="Montserrat" w:hAnsi="Montserrat"/>
        <w:color w:val="000000" w:themeColor="text1"/>
        <w:sz w:val="16"/>
        <w:szCs w:val="16"/>
      </w:rPr>
    </w:pPr>
    <w:r w:rsidRPr="002C663F">
      <w:rPr>
        <w:rFonts w:ascii="Montserrat" w:hAnsi="Montserrat"/>
        <w:b/>
        <w:bCs/>
        <w:noProof/>
        <w:sz w:val="22"/>
        <w:szCs w:val="22"/>
        <w:lang w:eastAsia="es-MX"/>
      </w:rPr>
      <w:drawing>
        <wp:anchor distT="0" distB="0" distL="114300" distR="114300" simplePos="0" relativeHeight="251658240" behindDoc="1" locked="0" layoutInCell="1" allowOverlap="1" wp14:anchorId="78E0FB9B" wp14:editId="53404010">
          <wp:simplePos x="0" y="0"/>
          <wp:positionH relativeFrom="page">
            <wp:align>left</wp:align>
          </wp:positionH>
          <wp:positionV relativeFrom="paragraph">
            <wp:posOffset>-717624</wp:posOffset>
          </wp:positionV>
          <wp:extent cx="7807960" cy="101727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_HRAEI_2024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7807960" cy="10172700"/>
                  </a:xfrm>
                  <a:prstGeom prst="rect">
                    <a:avLst/>
                  </a:prstGeom>
                </pic:spPr>
              </pic:pic>
            </a:graphicData>
          </a:graphic>
          <wp14:sizeRelH relativeFrom="page">
            <wp14:pctWidth>0</wp14:pctWidth>
          </wp14:sizeRelH>
          <wp14:sizeRelV relativeFrom="page">
            <wp14:pctHeight>0</wp14:pctHeight>
          </wp14:sizeRelV>
        </wp:anchor>
      </w:drawing>
    </w:r>
    <w:r w:rsidRPr="00D2326A">
      <w:rPr>
        <w:rFonts w:ascii="Montserrat" w:hAnsi="Montserrat"/>
        <w:color w:val="000000" w:themeColor="text1"/>
        <w:sz w:val="16"/>
        <w:szCs w:val="16"/>
      </w:rPr>
      <w:t xml:space="preserve">Coordinación del Hospital Regional de Alta </w:t>
    </w:r>
  </w:p>
  <w:p w14:paraId="23EFFA3C" w14:textId="24F96BD8" w:rsidR="00E02EE2" w:rsidRDefault="00E02EE2" w:rsidP="00296E2D">
    <w:pPr>
      <w:pStyle w:val="Encabezado"/>
      <w:spacing w:line="240" w:lineRule="atLeast"/>
      <w:ind w:right="-1431"/>
      <w:jc w:val="right"/>
      <w:rPr>
        <w:rFonts w:ascii="Montserrat" w:hAnsi="Montserrat"/>
        <w:color w:val="000000" w:themeColor="text1"/>
        <w:sz w:val="16"/>
        <w:szCs w:val="16"/>
      </w:rPr>
    </w:pPr>
    <w:r w:rsidRPr="00D2326A">
      <w:rPr>
        <w:rFonts w:ascii="Montserrat" w:hAnsi="Montserrat"/>
        <w:color w:val="000000" w:themeColor="text1"/>
        <w:sz w:val="16"/>
        <w:szCs w:val="16"/>
      </w:rPr>
      <w:t xml:space="preserve">Especialidad de Ixtapaluca </w:t>
    </w:r>
  </w:p>
  <w:p w14:paraId="5C3BD91F" w14:textId="1CB75C20" w:rsidR="00E02EE2" w:rsidRDefault="00E02EE2" w:rsidP="00296E2D">
    <w:pPr>
      <w:pStyle w:val="Encabezado"/>
      <w:spacing w:line="240" w:lineRule="atLeast"/>
      <w:ind w:right="-1431"/>
      <w:jc w:val="right"/>
      <w:rPr>
        <w:rFonts w:ascii="Montserrat" w:hAnsi="Montserrat"/>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9DB"/>
    <w:multiLevelType w:val="hybridMultilevel"/>
    <w:tmpl w:val="FA88DF20"/>
    <w:lvl w:ilvl="0" w:tplc="453A339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27C44923"/>
    <w:multiLevelType w:val="hybridMultilevel"/>
    <w:tmpl w:val="313EA274"/>
    <w:lvl w:ilvl="0" w:tplc="080A000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FA4C5F"/>
    <w:multiLevelType w:val="hybridMultilevel"/>
    <w:tmpl w:val="1EF4FE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35295"/>
    <w:multiLevelType w:val="hybridMultilevel"/>
    <w:tmpl w:val="A8C8AA92"/>
    <w:lvl w:ilvl="0" w:tplc="EE9C70D6">
      <w:start w:val="1"/>
      <w:numFmt w:val="decimal"/>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063CAE"/>
    <w:multiLevelType w:val="hybridMultilevel"/>
    <w:tmpl w:val="6C6E585C"/>
    <w:lvl w:ilvl="0" w:tplc="29AC18A0">
      <w:start w:val="1"/>
      <w:numFmt w:val="lowerLetter"/>
      <w:lvlText w:val="%1)"/>
      <w:lvlJc w:val="left"/>
      <w:pPr>
        <w:ind w:left="1080" w:hanging="360"/>
      </w:pPr>
      <w:rPr>
        <w:rFonts w:hint="default"/>
        <w:b/>
        <w:bCs/>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1791319"/>
    <w:multiLevelType w:val="hybridMultilevel"/>
    <w:tmpl w:val="77824B26"/>
    <w:lvl w:ilvl="0" w:tplc="60BED74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613F"/>
    <w:rsid w:val="00006EA5"/>
    <w:rsid w:val="00007448"/>
    <w:rsid w:val="00025E56"/>
    <w:rsid w:val="00026491"/>
    <w:rsid w:val="00026CAE"/>
    <w:rsid w:val="000414D3"/>
    <w:rsid w:val="00060343"/>
    <w:rsid w:val="00066C91"/>
    <w:rsid w:val="0006777A"/>
    <w:rsid w:val="00072111"/>
    <w:rsid w:val="00083645"/>
    <w:rsid w:val="00094C76"/>
    <w:rsid w:val="000A42BA"/>
    <w:rsid w:val="000A6AE5"/>
    <w:rsid w:val="000B19C2"/>
    <w:rsid w:val="000B5504"/>
    <w:rsid w:val="000B64AE"/>
    <w:rsid w:val="000C28AC"/>
    <w:rsid w:val="000C57E3"/>
    <w:rsid w:val="000F1120"/>
    <w:rsid w:val="000F19D1"/>
    <w:rsid w:val="000F20D7"/>
    <w:rsid w:val="0010226E"/>
    <w:rsid w:val="00113BAE"/>
    <w:rsid w:val="00114F26"/>
    <w:rsid w:val="0012372D"/>
    <w:rsid w:val="00134A5F"/>
    <w:rsid w:val="001378B4"/>
    <w:rsid w:val="00147DCA"/>
    <w:rsid w:val="0015170D"/>
    <w:rsid w:val="00165BAD"/>
    <w:rsid w:val="001816BC"/>
    <w:rsid w:val="00183471"/>
    <w:rsid w:val="00191781"/>
    <w:rsid w:val="001A27FA"/>
    <w:rsid w:val="001B341E"/>
    <w:rsid w:val="001B4858"/>
    <w:rsid w:val="001B788E"/>
    <w:rsid w:val="001B7C58"/>
    <w:rsid w:val="001D02C2"/>
    <w:rsid w:val="001D4940"/>
    <w:rsid w:val="001F08A0"/>
    <w:rsid w:val="00214362"/>
    <w:rsid w:val="0022300C"/>
    <w:rsid w:val="00224414"/>
    <w:rsid w:val="00240B69"/>
    <w:rsid w:val="00243114"/>
    <w:rsid w:val="002537E0"/>
    <w:rsid w:val="002541FF"/>
    <w:rsid w:val="00282826"/>
    <w:rsid w:val="00296E2D"/>
    <w:rsid w:val="002A2F2C"/>
    <w:rsid w:val="002A72F0"/>
    <w:rsid w:val="002B035C"/>
    <w:rsid w:val="002B4497"/>
    <w:rsid w:val="002C663F"/>
    <w:rsid w:val="002D271C"/>
    <w:rsid w:val="002D7521"/>
    <w:rsid w:val="002E3EA8"/>
    <w:rsid w:val="002E5D62"/>
    <w:rsid w:val="002E777C"/>
    <w:rsid w:val="002E7890"/>
    <w:rsid w:val="002F1111"/>
    <w:rsid w:val="002F226D"/>
    <w:rsid w:val="002F3EA4"/>
    <w:rsid w:val="002F5855"/>
    <w:rsid w:val="00302734"/>
    <w:rsid w:val="00304878"/>
    <w:rsid w:val="00307FAB"/>
    <w:rsid w:val="00313DFB"/>
    <w:rsid w:val="00317E27"/>
    <w:rsid w:val="00340BB3"/>
    <w:rsid w:val="00341E29"/>
    <w:rsid w:val="0035030C"/>
    <w:rsid w:val="00350A6C"/>
    <w:rsid w:val="00355204"/>
    <w:rsid w:val="00361D50"/>
    <w:rsid w:val="00376F79"/>
    <w:rsid w:val="00381DBC"/>
    <w:rsid w:val="00391D4E"/>
    <w:rsid w:val="003C2C8A"/>
    <w:rsid w:val="003E1398"/>
    <w:rsid w:val="003E26D1"/>
    <w:rsid w:val="003F1636"/>
    <w:rsid w:val="00411F31"/>
    <w:rsid w:val="00413EFF"/>
    <w:rsid w:val="00415358"/>
    <w:rsid w:val="00420C45"/>
    <w:rsid w:val="00426308"/>
    <w:rsid w:val="0042723B"/>
    <w:rsid w:val="004306A9"/>
    <w:rsid w:val="004317E9"/>
    <w:rsid w:val="00432CF0"/>
    <w:rsid w:val="004440FB"/>
    <w:rsid w:val="00445274"/>
    <w:rsid w:val="0049078E"/>
    <w:rsid w:val="004933EE"/>
    <w:rsid w:val="00493615"/>
    <w:rsid w:val="004A3812"/>
    <w:rsid w:val="004B663B"/>
    <w:rsid w:val="00502F5E"/>
    <w:rsid w:val="00503CDB"/>
    <w:rsid w:val="00515495"/>
    <w:rsid w:val="005158F0"/>
    <w:rsid w:val="00521774"/>
    <w:rsid w:val="005313EF"/>
    <w:rsid w:val="005345F4"/>
    <w:rsid w:val="005476E2"/>
    <w:rsid w:val="00551780"/>
    <w:rsid w:val="005537F9"/>
    <w:rsid w:val="00575891"/>
    <w:rsid w:val="0058175F"/>
    <w:rsid w:val="005849F9"/>
    <w:rsid w:val="00590485"/>
    <w:rsid w:val="00593FB5"/>
    <w:rsid w:val="005A7C9C"/>
    <w:rsid w:val="005E3DC1"/>
    <w:rsid w:val="005E55EA"/>
    <w:rsid w:val="005E74D5"/>
    <w:rsid w:val="00627550"/>
    <w:rsid w:val="00630272"/>
    <w:rsid w:val="00671A77"/>
    <w:rsid w:val="00674A86"/>
    <w:rsid w:val="0067689F"/>
    <w:rsid w:val="00682AC4"/>
    <w:rsid w:val="0069590F"/>
    <w:rsid w:val="006972DA"/>
    <w:rsid w:val="006B15FF"/>
    <w:rsid w:val="006F186A"/>
    <w:rsid w:val="006F4DA3"/>
    <w:rsid w:val="0070007C"/>
    <w:rsid w:val="007060BB"/>
    <w:rsid w:val="00707D2E"/>
    <w:rsid w:val="007219B9"/>
    <w:rsid w:val="00733B9D"/>
    <w:rsid w:val="00734BEC"/>
    <w:rsid w:val="00735CC0"/>
    <w:rsid w:val="00743FFB"/>
    <w:rsid w:val="00746690"/>
    <w:rsid w:val="00750462"/>
    <w:rsid w:val="00753D3C"/>
    <w:rsid w:val="00770889"/>
    <w:rsid w:val="0079435C"/>
    <w:rsid w:val="00795B3C"/>
    <w:rsid w:val="00795D5D"/>
    <w:rsid w:val="00796DA4"/>
    <w:rsid w:val="00796F01"/>
    <w:rsid w:val="007A326C"/>
    <w:rsid w:val="007C194F"/>
    <w:rsid w:val="007F1FC7"/>
    <w:rsid w:val="007F406C"/>
    <w:rsid w:val="0080225B"/>
    <w:rsid w:val="00850426"/>
    <w:rsid w:val="0085373D"/>
    <w:rsid w:val="00861316"/>
    <w:rsid w:val="00864244"/>
    <w:rsid w:val="008739A0"/>
    <w:rsid w:val="00882A12"/>
    <w:rsid w:val="008A0F5F"/>
    <w:rsid w:val="008A2D21"/>
    <w:rsid w:val="008A2E4E"/>
    <w:rsid w:val="008A72DC"/>
    <w:rsid w:val="008A792A"/>
    <w:rsid w:val="008B734F"/>
    <w:rsid w:val="008C3678"/>
    <w:rsid w:val="008E0239"/>
    <w:rsid w:val="008F52D3"/>
    <w:rsid w:val="00902BD9"/>
    <w:rsid w:val="00920D98"/>
    <w:rsid w:val="00922C0A"/>
    <w:rsid w:val="009271AE"/>
    <w:rsid w:val="00942C11"/>
    <w:rsid w:val="0095003E"/>
    <w:rsid w:val="0095143F"/>
    <w:rsid w:val="00954BDD"/>
    <w:rsid w:val="009719EE"/>
    <w:rsid w:val="00981C3F"/>
    <w:rsid w:val="00986F82"/>
    <w:rsid w:val="00996685"/>
    <w:rsid w:val="009A1925"/>
    <w:rsid w:val="009B4375"/>
    <w:rsid w:val="009B461E"/>
    <w:rsid w:val="009B62C8"/>
    <w:rsid w:val="009C1936"/>
    <w:rsid w:val="009D2B83"/>
    <w:rsid w:val="009F0740"/>
    <w:rsid w:val="00A058B1"/>
    <w:rsid w:val="00A21EAE"/>
    <w:rsid w:val="00A22744"/>
    <w:rsid w:val="00A34CEC"/>
    <w:rsid w:val="00A42B88"/>
    <w:rsid w:val="00A5250C"/>
    <w:rsid w:val="00A5771B"/>
    <w:rsid w:val="00A5775C"/>
    <w:rsid w:val="00A60DC0"/>
    <w:rsid w:val="00A708FF"/>
    <w:rsid w:val="00A776CC"/>
    <w:rsid w:val="00A81F2D"/>
    <w:rsid w:val="00A85C90"/>
    <w:rsid w:val="00A91964"/>
    <w:rsid w:val="00A93412"/>
    <w:rsid w:val="00AA63E1"/>
    <w:rsid w:val="00AB433D"/>
    <w:rsid w:val="00AD021B"/>
    <w:rsid w:val="00AF1D1F"/>
    <w:rsid w:val="00AF6B99"/>
    <w:rsid w:val="00B05B3D"/>
    <w:rsid w:val="00B05F2F"/>
    <w:rsid w:val="00B12FD2"/>
    <w:rsid w:val="00B13984"/>
    <w:rsid w:val="00B16A76"/>
    <w:rsid w:val="00B21034"/>
    <w:rsid w:val="00B3148E"/>
    <w:rsid w:val="00B418B1"/>
    <w:rsid w:val="00B60150"/>
    <w:rsid w:val="00B63380"/>
    <w:rsid w:val="00B671B9"/>
    <w:rsid w:val="00B84542"/>
    <w:rsid w:val="00B8488D"/>
    <w:rsid w:val="00B93FB6"/>
    <w:rsid w:val="00BA05CA"/>
    <w:rsid w:val="00BA262E"/>
    <w:rsid w:val="00BA276D"/>
    <w:rsid w:val="00BA2F1E"/>
    <w:rsid w:val="00BA6AFA"/>
    <w:rsid w:val="00BA7FE1"/>
    <w:rsid w:val="00BB1AF3"/>
    <w:rsid w:val="00BB455F"/>
    <w:rsid w:val="00BB6B2F"/>
    <w:rsid w:val="00BD2B09"/>
    <w:rsid w:val="00BE6F29"/>
    <w:rsid w:val="00BE74A5"/>
    <w:rsid w:val="00C15ABF"/>
    <w:rsid w:val="00C15DDC"/>
    <w:rsid w:val="00C20779"/>
    <w:rsid w:val="00C22642"/>
    <w:rsid w:val="00C26C6E"/>
    <w:rsid w:val="00C4095A"/>
    <w:rsid w:val="00C5138E"/>
    <w:rsid w:val="00C71849"/>
    <w:rsid w:val="00C725BC"/>
    <w:rsid w:val="00C84CFC"/>
    <w:rsid w:val="00C90358"/>
    <w:rsid w:val="00CA5128"/>
    <w:rsid w:val="00CA7AA1"/>
    <w:rsid w:val="00CB2AB9"/>
    <w:rsid w:val="00CC3B8B"/>
    <w:rsid w:val="00CD4829"/>
    <w:rsid w:val="00CD5835"/>
    <w:rsid w:val="00CE0550"/>
    <w:rsid w:val="00CF0963"/>
    <w:rsid w:val="00CF6F4C"/>
    <w:rsid w:val="00D01B86"/>
    <w:rsid w:val="00D0390A"/>
    <w:rsid w:val="00D21657"/>
    <w:rsid w:val="00D24700"/>
    <w:rsid w:val="00D32EFF"/>
    <w:rsid w:val="00D341A2"/>
    <w:rsid w:val="00D42C21"/>
    <w:rsid w:val="00D60987"/>
    <w:rsid w:val="00D62828"/>
    <w:rsid w:val="00D7583B"/>
    <w:rsid w:val="00D75D48"/>
    <w:rsid w:val="00D82F08"/>
    <w:rsid w:val="00D92DCF"/>
    <w:rsid w:val="00DB7E28"/>
    <w:rsid w:val="00DC7F5F"/>
    <w:rsid w:val="00DD56D7"/>
    <w:rsid w:val="00DD5F28"/>
    <w:rsid w:val="00DE5A06"/>
    <w:rsid w:val="00E02EE2"/>
    <w:rsid w:val="00E04056"/>
    <w:rsid w:val="00E173C8"/>
    <w:rsid w:val="00E20397"/>
    <w:rsid w:val="00E212C5"/>
    <w:rsid w:val="00E21DE9"/>
    <w:rsid w:val="00E25692"/>
    <w:rsid w:val="00E27A18"/>
    <w:rsid w:val="00E3007C"/>
    <w:rsid w:val="00E349CB"/>
    <w:rsid w:val="00E5089A"/>
    <w:rsid w:val="00E56B9C"/>
    <w:rsid w:val="00E62780"/>
    <w:rsid w:val="00E630D4"/>
    <w:rsid w:val="00E76921"/>
    <w:rsid w:val="00E829DE"/>
    <w:rsid w:val="00E84044"/>
    <w:rsid w:val="00E84834"/>
    <w:rsid w:val="00E967F0"/>
    <w:rsid w:val="00EA44B9"/>
    <w:rsid w:val="00EB0728"/>
    <w:rsid w:val="00EC2452"/>
    <w:rsid w:val="00EC623D"/>
    <w:rsid w:val="00EC7BDE"/>
    <w:rsid w:val="00EC7F76"/>
    <w:rsid w:val="00ED5F24"/>
    <w:rsid w:val="00EE0DAA"/>
    <w:rsid w:val="00EF3EFC"/>
    <w:rsid w:val="00F00704"/>
    <w:rsid w:val="00F111C3"/>
    <w:rsid w:val="00F14807"/>
    <w:rsid w:val="00F24A50"/>
    <w:rsid w:val="00F24BC4"/>
    <w:rsid w:val="00F252D1"/>
    <w:rsid w:val="00F36103"/>
    <w:rsid w:val="00F44A7F"/>
    <w:rsid w:val="00F466B8"/>
    <w:rsid w:val="00F50361"/>
    <w:rsid w:val="00F51033"/>
    <w:rsid w:val="00F51DF0"/>
    <w:rsid w:val="00F570F0"/>
    <w:rsid w:val="00F811B3"/>
    <w:rsid w:val="00F85E5D"/>
    <w:rsid w:val="00F906CF"/>
    <w:rsid w:val="00F92273"/>
    <w:rsid w:val="00FA0260"/>
    <w:rsid w:val="00FA221C"/>
    <w:rsid w:val="00FA4784"/>
    <w:rsid w:val="00FA47EB"/>
    <w:rsid w:val="00FA4945"/>
    <w:rsid w:val="00FB7C8C"/>
    <w:rsid w:val="00FC5B22"/>
    <w:rsid w:val="00FD1BA3"/>
    <w:rsid w:val="00FF41F4"/>
    <w:rsid w:val="00FF607F"/>
    <w:rsid w:val="00FF61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paragraph" w:styleId="Prrafodelista">
    <w:name w:val="List Paragraph"/>
    <w:aliases w:val="4 Párrafo de lista,Figuras,Dot pt,No Spacing1,List Paragraph Char Char Char,Indicator Text,List Paragraph1,Numbered Para 1,DH1,lp1,Colorful List - Accent 11,Bullet 1,F5 List Paragraph,Bullet Points,Normal Fv,Párrafo de lista1,viñetas,3"/>
    <w:basedOn w:val="Normal"/>
    <w:link w:val="PrrafodelistaCar"/>
    <w:uiPriority w:val="34"/>
    <w:qFormat/>
    <w:rsid w:val="00AF6B99"/>
    <w:pPr>
      <w:spacing w:after="160" w:line="259" w:lineRule="auto"/>
      <w:ind w:left="720"/>
      <w:contextualSpacing/>
    </w:pPr>
    <w:rPr>
      <w:sz w:val="22"/>
      <w:szCs w:val="22"/>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AF6B99"/>
    <w:rPr>
      <w:sz w:val="22"/>
      <w:szCs w:val="22"/>
    </w:rPr>
  </w:style>
  <w:style w:type="paragraph" w:customStyle="1" w:styleId="ANOTACION">
    <w:name w:val="ANOTACION"/>
    <w:basedOn w:val="Normal"/>
    <w:link w:val="ANOTACIONCar"/>
    <w:rsid w:val="00AF6B9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AF6B99"/>
    <w:rPr>
      <w:rFonts w:ascii="Times New Roman" w:eastAsia="Times New Roman" w:hAnsi="Times New Roman" w:cs="Times New Roman"/>
      <w:b/>
      <w:sz w:val="18"/>
      <w:szCs w:val="20"/>
      <w:lang w:val="es-ES_tradnl" w:eastAsia="es-ES"/>
    </w:rPr>
  </w:style>
  <w:style w:type="character" w:styleId="Hipervnculo">
    <w:name w:val="Hyperlink"/>
    <w:uiPriority w:val="99"/>
    <w:unhideWhenUsed/>
    <w:rsid w:val="00A776CC"/>
    <w:rPr>
      <w:color w:val="0000FF"/>
      <w:u w:val="single"/>
    </w:rPr>
  </w:style>
  <w:style w:type="table" w:styleId="Tablaconcuadrcula">
    <w:name w:val="Table Grid"/>
    <w:basedOn w:val="Tablanormal"/>
    <w:uiPriority w:val="39"/>
    <w:rsid w:val="00A776CC"/>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D271C"/>
    <w:rPr>
      <w:color w:val="605E5C"/>
      <w:shd w:val="clear" w:color="auto" w:fill="E1DFDD"/>
    </w:rPr>
  </w:style>
  <w:style w:type="paragraph" w:customStyle="1" w:styleId="Texto">
    <w:name w:val="Texto"/>
    <w:basedOn w:val="Normal"/>
    <w:link w:val="TextoCar"/>
    <w:rsid w:val="00296E2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6E2D"/>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teriosdeinterpretacion.inai.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FE79-897B-4057-B423-41D30F8F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LUISA</cp:lastModifiedBy>
  <cp:revision>14</cp:revision>
  <cp:lastPrinted>2024-03-25T22:45:00Z</cp:lastPrinted>
  <dcterms:created xsi:type="dcterms:W3CDTF">2024-09-10T18:27:00Z</dcterms:created>
  <dcterms:modified xsi:type="dcterms:W3CDTF">2024-09-13T17:20:00Z</dcterms:modified>
</cp:coreProperties>
</file>